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7"/>
        <w:snapToGrid w:val="0"/>
        <w:jc w:val="both"/>
        <w:rPr>
          <w:rFonts w:hint="default" w:cs="Arial"/>
          <w:i w:val="0"/>
          <w:sz w:val="22"/>
          <w:szCs w:val="22"/>
          <w:lang w:val="en-US" w:eastAsia="zh-CN"/>
        </w:rPr>
      </w:pPr>
      <w:bookmarkStart w:id="0" w:name="_Ref494746248"/>
      <w:r>
        <w:rPr>
          <w:rFonts w:cs="Arial"/>
          <w:i w:val="0"/>
          <w:sz w:val="22"/>
          <w:szCs w:val="22"/>
          <w:lang w:eastAsia="zh-CN"/>
        </w:rPr>
        <w:t>3GPP TSG RAN Meeting #9</w:t>
      </w:r>
      <w:r>
        <w:rPr>
          <w:rFonts w:hint="eastAsia" w:cs="Arial"/>
          <w:i w:val="0"/>
          <w:sz w:val="22"/>
          <w:szCs w:val="22"/>
          <w:lang w:val="en-US" w:eastAsia="zh-CN"/>
        </w:rPr>
        <w:t>8</w:t>
      </w:r>
      <w:r>
        <w:rPr>
          <w:rFonts w:cs="Arial"/>
          <w:i w:val="0"/>
          <w:sz w:val="22"/>
          <w:szCs w:val="22"/>
          <w:lang w:eastAsia="zh-CN"/>
        </w:rPr>
        <w:t>-e</w:t>
      </w:r>
      <w:r>
        <w:rPr>
          <w:rFonts w:cs="Arial"/>
          <w:i w:val="0"/>
          <w:sz w:val="22"/>
          <w:szCs w:val="22"/>
          <w:lang w:eastAsia="zh-CN"/>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i w:val="0"/>
          <w:sz w:val="22"/>
          <w:szCs w:val="22"/>
          <w:lang w:eastAsia="zh-CN"/>
        </w:rPr>
        <w:t>RP-2</w:t>
      </w:r>
      <w:r>
        <w:rPr>
          <w:rFonts w:hint="eastAsia" w:cs="Arial"/>
          <w:i w:val="0"/>
          <w:sz w:val="22"/>
          <w:szCs w:val="22"/>
          <w:lang w:val="en-US" w:eastAsia="zh-CN"/>
        </w:rPr>
        <w:t>23269</w:t>
      </w:r>
    </w:p>
    <w:p>
      <w:pPr>
        <w:pStyle w:val="37"/>
        <w:snapToGrid w:val="0"/>
        <w:jc w:val="both"/>
        <w:rPr>
          <w:rFonts w:hint="default" w:cs="Arial"/>
          <w:i w:val="0"/>
          <w:sz w:val="22"/>
          <w:szCs w:val="22"/>
          <w:lang w:val="en-US" w:eastAsia="zh-CN"/>
        </w:rPr>
      </w:pPr>
      <w:r>
        <w:rPr>
          <w:rFonts w:cs="Arial"/>
          <w:i w:val="0"/>
          <w:sz w:val="22"/>
          <w:szCs w:val="22"/>
          <w:lang w:eastAsia="zh-CN"/>
        </w:rPr>
        <w:t xml:space="preserve">Electronic Meeting, December </w:t>
      </w:r>
      <w:r>
        <w:rPr>
          <w:rFonts w:hint="eastAsia" w:cs="Arial"/>
          <w:i w:val="0"/>
          <w:sz w:val="22"/>
          <w:szCs w:val="22"/>
          <w:lang w:val="en-US" w:eastAsia="zh-CN"/>
        </w:rPr>
        <w:t>12</w:t>
      </w:r>
      <w:r>
        <w:rPr>
          <w:rFonts w:cs="Arial"/>
          <w:i w:val="0"/>
          <w:sz w:val="22"/>
          <w:szCs w:val="22"/>
          <w:lang w:eastAsia="zh-CN"/>
        </w:rPr>
        <w:t xml:space="preserve"> - 1</w:t>
      </w:r>
      <w:r>
        <w:rPr>
          <w:rFonts w:hint="eastAsia" w:cs="Arial"/>
          <w:i w:val="0"/>
          <w:sz w:val="22"/>
          <w:szCs w:val="22"/>
          <w:lang w:val="en-US" w:eastAsia="zh-CN"/>
        </w:rPr>
        <w:t>6</w:t>
      </w:r>
      <w:r>
        <w:rPr>
          <w:rFonts w:cs="Arial"/>
          <w:i w:val="0"/>
          <w:sz w:val="22"/>
          <w:szCs w:val="22"/>
          <w:lang w:eastAsia="zh-CN"/>
        </w:rPr>
        <w:t>, 202</w:t>
      </w:r>
      <w:r>
        <w:rPr>
          <w:rFonts w:hint="eastAsia" w:cs="Arial"/>
          <w:i w:val="0"/>
          <w:sz w:val="22"/>
          <w:szCs w:val="22"/>
          <w:lang w:val="en-US" w:eastAsia="zh-CN"/>
        </w:rPr>
        <w:t>2</w:t>
      </w:r>
    </w:p>
    <w:p>
      <w:pPr>
        <w:pStyle w:val="37"/>
        <w:snapToGrid w:val="0"/>
        <w:jc w:val="both"/>
      </w:pPr>
    </w:p>
    <w:p>
      <w:pPr>
        <w:tabs>
          <w:tab w:val="left" w:pos="1985"/>
        </w:tabs>
        <w:snapToGrid w:val="0"/>
        <w:spacing w:after="0"/>
        <w:rPr>
          <w:rFonts w:ascii="Arial" w:hAnsi="Arial"/>
          <w:b/>
        </w:rPr>
      </w:pPr>
      <w:r>
        <w:rPr>
          <w:rFonts w:ascii="Arial" w:hAnsi="Arial"/>
          <w:b/>
        </w:rPr>
        <w:t xml:space="preserve">Source: </w:t>
      </w:r>
      <w:r>
        <w:rPr>
          <w:rFonts w:ascii="Arial" w:hAnsi="Arial"/>
          <w:b/>
        </w:rPr>
        <w:tab/>
      </w:r>
      <w:r>
        <w:rPr>
          <w:rFonts w:ascii="Arial" w:hAnsi="Arial"/>
          <w:b/>
        </w:rPr>
        <w:t>ZTE</w:t>
      </w:r>
    </w:p>
    <w:p>
      <w:pPr>
        <w:snapToGrid w:val="0"/>
        <w:spacing w:after="0"/>
        <w:ind w:left="1988" w:hanging="1988"/>
        <w:rPr>
          <w:rFonts w:hint="default" w:ascii="Arial" w:hAnsi="Arial"/>
          <w:b/>
          <w:lang w:eastAsia="zh-CN"/>
        </w:rPr>
      </w:pPr>
      <w:r>
        <w:rPr>
          <w:rFonts w:ascii="Arial" w:hAnsi="Arial"/>
          <w:b/>
        </w:rPr>
        <w:t xml:space="preserve">Title: </w:t>
      </w:r>
      <w:r>
        <w:rPr>
          <w:rFonts w:ascii="Arial" w:hAnsi="Arial"/>
          <w:b/>
        </w:rPr>
        <w:tab/>
      </w:r>
      <w:r>
        <w:rPr>
          <w:rFonts w:hint="eastAsia" w:ascii="Arial" w:hAnsi="Arial"/>
          <w:b/>
          <w:lang w:val="en-US" w:eastAsia="zh-CN"/>
        </w:rPr>
        <w:t>Discussion on NG-RAN support of eNPN Phase 2</w:t>
      </w:r>
      <w:r>
        <w:rPr>
          <w:rFonts w:hint="default" w:ascii="Arial" w:hAnsi="Arial"/>
          <w:b/>
        </w:rPr>
        <w:t xml:space="preserve"> </w:t>
      </w:r>
    </w:p>
    <w:p>
      <w:pPr>
        <w:tabs>
          <w:tab w:val="left" w:pos="1985"/>
        </w:tabs>
        <w:snapToGrid w:val="0"/>
        <w:spacing w:after="0"/>
        <w:rPr>
          <w:rFonts w:hint="default" w:ascii="Arial" w:hAnsi="Arial" w:eastAsia="宋体"/>
          <w:b/>
          <w:lang w:val="en-US" w:eastAsia="zh-CN"/>
        </w:rPr>
      </w:pPr>
      <w:r>
        <w:rPr>
          <w:rFonts w:ascii="Arial" w:hAnsi="Arial"/>
          <w:b/>
        </w:rPr>
        <w:t>Agenda item:</w:t>
      </w:r>
      <w:r>
        <w:rPr>
          <w:rFonts w:ascii="Arial" w:hAnsi="Arial"/>
          <w:b/>
        </w:rPr>
        <w:tab/>
      </w:r>
      <w:r>
        <w:rPr>
          <w:rFonts w:hint="eastAsia" w:ascii="Arial" w:hAnsi="Arial"/>
          <w:b/>
          <w:highlight w:val="none"/>
          <w:lang w:val="en-US" w:eastAsia="zh-CN"/>
        </w:rPr>
        <w:t>9.1.3</w:t>
      </w:r>
    </w:p>
    <w:p>
      <w:pPr>
        <w:snapToGrid w:val="0"/>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snapToGrid w:val="0"/>
        <w:textAlignment w:val="auto"/>
      </w:pPr>
      <w:bookmarkStart w:id="2" w:name="_Ref4817"/>
      <w:r>
        <w:t>Introduction</w:t>
      </w:r>
      <w:bookmarkEnd w:id="0"/>
      <w:bookmarkEnd w:id="2"/>
    </w:p>
    <w:p>
      <w:pPr>
        <w:jc w:val="left"/>
        <w:rPr>
          <w:rFonts w:hint="default" w:ascii="Times New Roman" w:hAnsi="Times New Roman" w:cs="Times New Roman"/>
          <w:sz w:val="22"/>
          <w:szCs w:val="22"/>
          <w:lang w:val="en-US" w:eastAsia="zh-CN"/>
        </w:rPr>
      </w:pPr>
      <w:r>
        <w:rPr>
          <w:rFonts w:hint="eastAsia" w:ascii="Times New Roman" w:hAnsi="Times New Roman" w:cs="Times New Roman"/>
          <w:sz w:val="22"/>
          <w:szCs w:val="22"/>
          <w:lang w:val="en-US" w:eastAsia="zh-CN"/>
        </w:rPr>
        <w:t>Non-Public Network was introduced in Rel-16 with basic functions, and further enhanced in Rel-17 to enable wider cooperation between different networks/different entities to support use cases for NPN to provide access for UE that has no native credentials/subscriptions beforehand, as well as IMS and VIAPA related use cases. The contribution provides our view on NG-RAN support for phase2 enhancement of NPN in Rel-18.</w:t>
      </w:r>
    </w:p>
    <w:p>
      <w:pPr>
        <w:pStyle w:val="2"/>
        <w:snapToGrid w:val="0"/>
        <w:textAlignment w:val="auto"/>
        <w:rPr>
          <w:rFonts w:hint="eastAsia"/>
          <w:lang w:val="en-US" w:eastAsia="zh-CN"/>
        </w:rPr>
      </w:pPr>
      <w:r>
        <w:rPr>
          <w:rFonts w:hint="eastAsia"/>
          <w:lang w:val="en-US" w:eastAsia="zh-CN"/>
        </w:rPr>
        <w:t>Discussion</w:t>
      </w:r>
    </w:p>
    <w:p>
      <w:pPr>
        <w:jc w:val="left"/>
        <w:rPr>
          <w:rFonts w:hint="eastAsia"/>
          <w:sz w:val="22"/>
          <w:szCs w:val="22"/>
          <w:lang w:val="en-US" w:eastAsia="zh-CN"/>
        </w:rPr>
      </w:pPr>
      <w:r>
        <w:rPr>
          <w:rFonts w:hint="eastAsia"/>
          <w:sz w:val="22"/>
          <w:szCs w:val="22"/>
          <w:lang w:val="en-US" w:eastAsia="zh-CN"/>
        </w:rPr>
        <w:t>SA2 has completed the study on enhanced support of Non-Public Networks phase 2, and concluded 6 key issues that are proposed, see TR 23.700-08, to be progressed to the normative phase:</w:t>
      </w:r>
    </w:p>
    <w:p>
      <w:pPr>
        <w:jc w:val="left"/>
        <w:rPr>
          <w:rFonts w:hint="eastAsia"/>
          <w:sz w:val="22"/>
          <w:szCs w:val="22"/>
          <w:lang w:val="en-US" w:eastAsia="zh-CN"/>
        </w:rPr>
      </w:pPr>
      <w:r>
        <w:rPr>
          <w:rFonts w:hint="eastAsia"/>
          <w:sz w:val="22"/>
          <w:szCs w:val="22"/>
          <w:lang w:val="en-US" w:eastAsia="zh-CN"/>
        </w:rPr>
        <w:t>-</w:t>
      </w:r>
      <w:r>
        <w:rPr>
          <w:rFonts w:hint="eastAsia"/>
          <w:sz w:val="22"/>
          <w:szCs w:val="22"/>
          <w:lang w:val="en-US" w:eastAsia="zh-CN"/>
        </w:rPr>
        <w:tab/>
      </w:r>
      <w:r>
        <w:rPr>
          <w:rFonts w:hint="eastAsia"/>
          <w:sz w:val="22"/>
          <w:szCs w:val="22"/>
          <w:lang w:val="en-US" w:eastAsia="zh-CN"/>
        </w:rPr>
        <w:t>Enabling support for idle and connected mode mobility between SNPNs without new network selection</w:t>
      </w:r>
    </w:p>
    <w:p>
      <w:pPr>
        <w:jc w:val="left"/>
        <w:rPr>
          <w:rFonts w:hint="eastAsia"/>
          <w:sz w:val="22"/>
          <w:szCs w:val="22"/>
          <w:lang w:val="en-US" w:eastAsia="zh-CN"/>
        </w:rPr>
      </w:pPr>
      <w:r>
        <w:rPr>
          <w:rFonts w:hint="eastAsia"/>
          <w:sz w:val="22"/>
          <w:szCs w:val="22"/>
          <w:lang w:val="en-US" w:eastAsia="zh-CN"/>
        </w:rPr>
        <w:t>-</w:t>
      </w:r>
      <w:r>
        <w:rPr>
          <w:rFonts w:hint="eastAsia"/>
          <w:sz w:val="22"/>
          <w:szCs w:val="22"/>
          <w:lang w:val="en-US" w:eastAsia="zh-CN"/>
        </w:rPr>
        <w:tab/>
      </w:r>
      <w:r>
        <w:rPr>
          <w:rFonts w:hint="eastAsia"/>
          <w:sz w:val="22"/>
          <w:szCs w:val="22"/>
          <w:lang w:val="en-US" w:eastAsia="zh-CN"/>
        </w:rPr>
        <w:t>Support of Non-3GPP access for SNPN</w:t>
      </w:r>
    </w:p>
    <w:p>
      <w:pPr>
        <w:jc w:val="left"/>
        <w:rPr>
          <w:rFonts w:hint="eastAsia"/>
          <w:sz w:val="22"/>
          <w:szCs w:val="22"/>
          <w:lang w:val="en-US" w:eastAsia="zh-CN"/>
        </w:rPr>
      </w:pPr>
      <w:r>
        <w:rPr>
          <w:rFonts w:hint="eastAsia"/>
          <w:sz w:val="22"/>
          <w:szCs w:val="22"/>
          <w:lang w:val="en-US" w:eastAsia="zh-CN"/>
        </w:rPr>
        <w:t>-</w:t>
      </w:r>
      <w:r>
        <w:rPr>
          <w:rFonts w:hint="eastAsia"/>
          <w:sz w:val="22"/>
          <w:szCs w:val="22"/>
          <w:lang w:val="en-US" w:eastAsia="zh-CN"/>
        </w:rPr>
        <w:tab/>
      </w:r>
      <w:r>
        <w:rPr>
          <w:rFonts w:hint="eastAsia"/>
          <w:sz w:val="22"/>
          <w:szCs w:val="22"/>
          <w:lang w:val="en-US" w:eastAsia="zh-CN"/>
        </w:rPr>
        <w:t>Enabling NPN as hosting network for providing access to localized services</w:t>
      </w:r>
    </w:p>
    <w:p>
      <w:pPr>
        <w:jc w:val="left"/>
        <w:rPr>
          <w:rFonts w:hint="eastAsia"/>
          <w:sz w:val="22"/>
          <w:szCs w:val="22"/>
          <w:lang w:val="en-US" w:eastAsia="zh-CN"/>
        </w:rPr>
      </w:pPr>
      <w:r>
        <w:rPr>
          <w:rFonts w:hint="eastAsia"/>
          <w:sz w:val="22"/>
          <w:szCs w:val="22"/>
          <w:lang w:val="en-US" w:eastAsia="zh-CN"/>
        </w:rPr>
        <w:t>-</w:t>
      </w:r>
      <w:r>
        <w:rPr>
          <w:rFonts w:hint="eastAsia"/>
          <w:sz w:val="22"/>
          <w:szCs w:val="22"/>
          <w:lang w:val="en-US" w:eastAsia="zh-CN"/>
        </w:rPr>
        <w:tab/>
      </w:r>
      <w:r>
        <w:rPr>
          <w:rFonts w:hint="eastAsia"/>
          <w:sz w:val="22"/>
          <w:szCs w:val="22"/>
          <w:lang w:val="en-US" w:eastAsia="zh-CN"/>
        </w:rPr>
        <w:t>Enabling UE to discover, select and access NPN as hosting network and receive localized services</w:t>
      </w:r>
    </w:p>
    <w:p>
      <w:pPr>
        <w:jc w:val="left"/>
        <w:rPr>
          <w:rFonts w:hint="eastAsia"/>
          <w:sz w:val="22"/>
          <w:szCs w:val="22"/>
          <w:lang w:val="en-US" w:eastAsia="zh-CN"/>
        </w:rPr>
      </w:pPr>
      <w:r>
        <w:rPr>
          <w:rFonts w:hint="eastAsia"/>
          <w:sz w:val="22"/>
          <w:szCs w:val="22"/>
          <w:lang w:val="en-US" w:eastAsia="zh-CN"/>
        </w:rPr>
        <w:t>-</w:t>
      </w:r>
      <w:r>
        <w:rPr>
          <w:rFonts w:hint="eastAsia"/>
          <w:sz w:val="22"/>
          <w:szCs w:val="22"/>
          <w:lang w:val="en-US" w:eastAsia="zh-CN"/>
        </w:rPr>
        <w:tab/>
      </w:r>
      <w:r>
        <w:rPr>
          <w:rFonts w:hint="eastAsia"/>
          <w:sz w:val="22"/>
          <w:szCs w:val="22"/>
          <w:lang w:val="en-US" w:eastAsia="zh-CN"/>
        </w:rPr>
        <w:t>Enabling access to localized services via a specific hosting network</w:t>
      </w:r>
    </w:p>
    <w:p>
      <w:pPr>
        <w:jc w:val="left"/>
        <w:rPr>
          <w:rFonts w:hint="eastAsia"/>
          <w:sz w:val="22"/>
          <w:szCs w:val="22"/>
          <w:lang w:val="en-US" w:eastAsia="zh-CN"/>
        </w:rPr>
      </w:pPr>
      <w:r>
        <w:rPr>
          <w:rFonts w:hint="eastAsia"/>
          <w:sz w:val="22"/>
          <w:szCs w:val="22"/>
          <w:lang w:val="en-US" w:eastAsia="zh-CN"/>
        </w:rPr>
        <w:t>-</w:t>
      </w:r>
      <w:r>
        <w:rPr>
          <w:rFonts w:hint="eastAsia"/>
          <w:sz w:val="22"/>
          <w:szCs w:val="22"/>
          <w:lang w:val="en-US" w:eastAsia="zh-CN"/>
        </w:rPr>
        <w:tab/>
      </w:r>
      <w:r>
        <w:rPr>
          <w:rFonts w:hint="eastAsia"/>
          <w:sz w:val="22"/>
          <w:szCs w:val="22"/>
          <w:lang w:val="en-US" w:eastAsia="zh-CN"/>
        </w:rPr>
        <w:t>Support for returning to home network</w:t>
      </w:r>
    </w:p>
    <w:p>
      <w:pPr>
        <w:jc w:val="left"/>
        <w:rPr>
          <w:rFonts w:hint="default" w:ascii="Times New Roman" w:hAnsi="Times New Roman" w:cs="Times New Roman"/>
          <w:sz w:val="22"/>
          <w:szCs w:val="22"/>
          <w:lang w:val="en-US" w:eastAsia="zh-CN"/>
        </w:rPr>
      </w:pPr>
      <w:r>
        <w:rPr>
          <w:rFonts w:hint="eastAsia" w:ascii="Times New Roman" w:hAnsi="Times New Roman" w:cs="Times New Roman"/>
          <w:sz w:val="22"/>
          <w:szCs w:val="22"/>
          <w:lang w:val="en-US" w:eastAsia="zh-CN"/>
        </w:rPr>
        <w:t xml:space="preserve">Thus, SA2 is working on eNPN_Ph2 WID in SP-220805 approved at TSG SA#97e. The overall plan for eNPN phase 2 SID/WID is shown below, this WID in SA2 is targeted to be completed in SA#99, March 2023. </w:t>
      </w:r>
    </w:p>
    <w:p>
      <w:pPr>
        <w:jc w:val="left"/>
        <w:rPr>
          <w:rFonts w:hint="eastAsia" w:ascii="Times New Roman" w:hAnsi="Times New Roman" w:cs="Times New Roman"/>
          <w:sz w:val="22"/>
          <w:szCs w:val="22"/>
          <w:lang w:val="en-US" w:eastAsia="zh-CN"/>
        </w:rPr>
      </w:pPr>
      <w:r>
        <w:drawing>
          <wp:inline distT="0" distB="0" distL="114300" distR="114300">
            <wp:extent cx="6031865" cy="704215"/>
            <wp:effectExtent l="0" t="0" r="6985" b="63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7"/>
                    <a:stretch>
                      <a:fillRect/>
                    </a:stretch>
                  </pic:blipFill>
                  <pic:spPr>
                    <a:xfrm>
                      <a:off x="0" y="0"/>
                      <a:ext cx="6031865" cy="704215"/>
                    </a:xfrm>
                    <a:prstGeom prst="rect">
                      <a:avLst/>
                    </a:prstGeom>
                  </pic:spPr>
                </pic:pic>
              </a:graphicData>
            </a:graphic>
          </wp:inline>
        </w:drawing>
      </w:r>
    </w:p>
    <w:p>
      <w:pPr>
        <w:jc w:val="left"/>
        <w:rPr>
          <w:rFonts w:hint="eastAsia" w:ascii="Times New Roman" w:hAnsi="Times New Roman" w:cs="Times New Roman"/>
          <w:sz w:val="22"/>
          <w:szCs w:val="22"/>
          <w:lang w:val="en-US" w:eastAsia="zh-CN"/>
        </w:rPr>
      </w:pPr>
      <w:r>
        <w:rPr>
          <w:rFonts w:hint="eastAsia" w:ascii="Times New Roman" w:hAnsi="Times New Roman" w:cs="Times New Roman"/>
          <w:sz w:val="22"/>
          <w:szCs w:val="22"/>
          <w:lang w:val="en-US" w:eastAsia="zh-CN"/>
        </w:rPr>
        <w:t>During the SA2#154 meeting, the WID is revised into S2-2211460, with the scope updated and to be approved at the SA#98e in December. It seems that this WID is not very stable at this stage,from this point of view, we suggest to wait for the completion of SA2 WID and then start the work on the RAN.</w:t>
      </w:r>
    </w:p>
    <w:p>
      <w:pPr>
        <w:jc w:val="left"/>
        <w:rPr>
          <w:rFonts w:hint="default" w:ascii="Times New Roman" w:hAnsi="Times New Roman" w:cs="Times New Roman"/>
          <w:b/>
          <w:bCs/>
          <w:sz w:val="22"/>
          <w:szCs w:val="22"/>
          <w:lang w:val="en-US" w:eastAsia="zh-CN"/>
        </w:rPr>
      </w:pPr>
      <w:r>
        <w:rPr>
          <w:rFonts w:hint="eastAsia" w:ascii="Times New Roman" w:hAnsi="Times New Roman" w:cs="Times New Roman"/>
          <w:b/>
          <w:bCs/>
          <w:sz w:val="22"/>
          <w:szCs w:val="22"/>
          <w:lang w:val="en-US" w:eastAsia="zh-CN"/>
        </w:rPr>
        <w:t>observation 1: The SA2 eNPN_Ph2 WID is not stable at this stage.</w:t>
      </w:r>
    </w:p>
    <w:p>
      <w:pPr>
        <w:jc w:val="left"/>
        <w:rPr>
          <w:rFonts w:hint="eastAsia" w:ascii="Times New Roman" w:hAnsi="Times New Roman" w:cs="Times New Roman"/>
          <w:sz w:val="22"/>
          <w:szCs w:val="22"/>
          <w:lang w:val="en-US" w:eastAsia="zh-CN"/>
        </w:rPr>
      </w:pPr>
      <w:r>
        <w:rPr>
          <w:rFonts w:hint="eastAsia" w:ascii="Times New Roman" w:hAnsi="Times New Roman" w:cs="Times New Roman"/>
          <w:sz w:val="22"/>
          <w:szCs w:val="22"/>
          <w:lang w:val="en-US" w:eastAsia="zh-CN"/>
        </w:rPr>
        <w:t>Fu</w:t>
      </w:r>
      <w:r>
        <w:rPr>
          <w:rFonts w:hint="eastAsia" w:cs="Times New Roman"/>
          <w:sz w:val="22"/>
          <w:szCs w:val="22"/>
          <w:lang w:val="en-US" w:eastAsia="zh-CN"/>
        </w:rPr>
        <w:t>r</w:t>
      </w:r>
      <w:r>
        <w:rPr>
          <w:rFonts w:hint="eastAsia" w:ascii="Times New Roman" w:hAnsi="Times New Roman" w:cs="Times New Roman"/>
          <w:sz w:val="22"/>
          <w:szCs w:val="22"/>
          <w:lang w:val="en-US" w:eastAsia="zh-CN"/>
        </w:rPr>
        <w:t>thermore, according to the revised WID, SA2 focuses on the following enhancement:</w:t>
      </w:r>
    </w:p>
    <w:p>
      <w:pPr>
        <w:jc w:val="left"/>
        <w:rPr>
          <w:rFonts w:hint="eastAsia" w:ascii="Times New Roman" w:hAnsi="Times New Roman" w:cs="Times New Roman"/>
          <w:sz w:val="22"/>
          <w:szCs w:val="22"/>
          <w:lang w:val="en-US" w:eastAsia="zh-CN"/>
        </w:rPr>
      </w:pPr>
      <w:r>
        <w:rPr>
          <w:rFonts w:hint="eastAsia" w:ascii="Times New Roman" w:hAnsi="Times New Roman" w:cs="Times New Roman"/>
          <w:sz w:val="22"/>
          <w:szCs w:val="22"/>
          <w:lang w:val="en-US" w:eastAsia="zh-CN"/>
        </w:rPr>
        <w:t>1.Support for enhanced mobility by enabling support for idle and connected mode mobility between SNPNs without new network selection.</w:t>
      </w:r>
    </w:p>
    <w:p>
      <w:pPr>
        <w:jc w:val="left"/>
        <w:rPr>
          <w:rFonts w:hint="eastAsia" w:ascii="Times New Roman" w:hAnsi="Times New Roman" w:cs="Times New Roman"/>
          <w:sz w:val="22"/>
          <w:szCs w:val="22"/>
          <w:lang w:val="en-US" w:eastAsia="zh-CN"/>
        </w:rPr>
      </w:pPr>
      <w:r>
        <w:rPr>
          <w:rFonts w:hint="eastAsia" w:ascii="Times New Roman" w:hAnsi="Times New Roman" w:cs="Times New Roman"/>
          <w:sz w:val="22"/>
          <w:szCs w:val="22"/>
          <w:lang w:val="en-US" w:eastAsia="zh-CN"/>
        </w:rPr>
        <w:t>2.Support for non-3GPP access for SNPN.</w:t>
      </w:r>
    </w:p>
    <w:p>
      <w:pPr>
        <w:jc w:val="left"/>
        <w:rPr>
          <w:rFonts w:hint="eastAsia" w:ascii="Times New Roman" w:hAnsi="Times New Roman" w:cs="Times New Roman"/>
          <w:sz w:val="22"/>
          <w:szCs w:val="22"/>
          <w:lang w:val="en-US" w:eastAsia="zh-CN"/>
        </w:rPr>
      </w:pPr>
      <w:r>
        <w:rPr>
          <w:rFonts w:hint="eastAsia" w:ascii="Times New Roman" w:hAnsi="Times New Roman" w:cs="Times New Roman"/>
          <w:sz w:val="22"/>
          <w:szCs w:val="22"/>
          <w:lang w:val="en-US" w:eastAsia="zh-CN"/>
        </w:rPr>
        <w:t>3.Support for providing access to Localized Services.</w:t>
      </w:r>
    </w:p>
    <w:p>
      <w:pPr>
        <w:jc w:val="left"/>
        <w:rPr>
          <w:rFonts w:hint="eastAsia" w:ascii="Times New Roman" w:hAnsi="Times New Roman" w:cs="Times New Roman"/>
          <w:sz w:val="22"/>
          <w:szCs w:val="22"/>
          <w:lang w:val="en-US" w:eastAsia="zh-CN"/>
        </w:rPr>
      </w:pPr>
      <w:r>
        <w:rPr>
          <w:rFonts w:hint="eastAsia" w:ascii="Times New Roman" w:hAnsi="Times New Roman" w:cs="Times New Roman"/>
          <w:sz w:val="22"/>
          <w:szCs w:val="22"/>
          <w:lang w:val="en-US" w:eastAsia="zh-CN"/>
        </w:rPr>
        <w:t xml:space="preserve">In the work scope of SA2 eNPN_Ph2 WID listed above, there are possible impact on both RAN2 and RAN3 specs. </w:t>
      </w:r>
    </w:p>
    <w:p>
      <w:pPr>
        <w:jc w:val="left"/>
        <w:rPr>
          <w:rFonts w:hint="default" w:ascii="Times New Roman" w:hAnsi="Times New Roman" w:cs="Times New Roman"/>
          <w:sz w:val="22"/>
          <w:szCs w:val="22"/>
          <w:lang w:val="en-US" w:eastAsia="zh-CN"/>
        </w:rPr>
      </w:pPr>
      <w:r>
        <w:rPr>
          <w:rFonts w:hint="eastAsia" w:ascii="Times New Roman" w:hAnsi="Times New Roman" w:cs="Times New Roman"/>
          <w:sz w:val="22"/>
          <w:szCs w:val="22"/>
          <w:lang w:val="en-US" w:eastAsia="zh-CN"/>
        </w:rPr>
        <w:t xml:space="preserve">Inter-SNPN mobility has impact on both RAN2 and RAN3 specs, UE/NG-RAN should take equivalent SNPN list into consideration, for supporting relevant functions, e.g. idle/connected mode mobility. The support of Non-3GPP access for SNPN </w:t>
      </w:r>
      <w:r>
        <w:rPr>
          <w:rFonts w:hint="eastAsia" w:cs="Times New Roman"/>
          <w:sz w:val="22"/>
          <w:szCs w:val="22"/>
          <w:lang w:val="en-US" w:eastAsia="zh-CN"/>
        </w:rPr>
        <w:t xml:space="preserve">seems only to have </w:t>
      </w:r>
      <w:r>
        <w:rPr>
          <w:rFonts w:hint="eastAsia" w:ascii="Times New Roman" w:hAnsi="Times New Roman" w:cs="Times New Roman"/>
          <w:sz w:val="22"/>
          <w:szCs w:val="22"/>
          <w:lang w:val="en-US" w:eastAsia="zh-CN"/>
        </w:rPr>
        <w:t>few impact on RAN3 specs, e.g, N3IWF and TNGF being able to include the "selected NID" in the [NGAP] INITIAL UE MESSAGE. In order to support providing access to localized services, It seems there are different options in TR23.700-08 , e.g SIB option and RRC option in solution 44. (</w:t>
      </w:r>
      <w:r>
        <w:rPr>
          <w:rFonts w:hint="eastAsia" w:ascii="Times New Roman" w:hAnsi="Times New Roman" w:cs="Times New Roman"/>
          <w:i/>
          <w:iCs/>
          <w:sz w:val="22"/>
          <w:szCs w:val="22"/>
          <w:lang w:val="en-US" w:eastAsia="zh-CN"/>
        </w:rPr>
        <w:t>SIB option: Broadcasting in SIB the Hosting Network search assistance information; RRC option: receive from AMF indication that UE is enabled for Hosting Network search assistance, and provide Hosting Network search assistance information for such UE via RRC signalling</w:t>
      </w:r>
      <w:r>
        <w:rPr>
          <w:rFonts w:hint="eastAsia" w:ascii="Times New Roman" w:hAnsi="Times New Roman" w:cs="Times New Roman"/>
          <w:sz w:val="22"/>
          <w:szCs w:val="22"/>
          <w:lang w:val="en-US" w:eastAsia="zh-CN"/>
        </w:rPr>
        <w:t xml:space="preserve">). </w:t>
      </w:r>
    </w:p>
    <w:p>
      <w:pPr>
        <w:jc w:val="left"/>
        <w:rPr>
          <w:rFonts w:hint="eastAsia" w:ascii="Times New Roman" w:hAnsi="Times New Roman" w:cs="Times New Roman"/>
          <w:sz w:val="22"/>
          <w:szCs w:val="22"/>
          <w:lang w:val="en-US" w:eastAsia="zh-CN"/>
        </w:rPr>
      </w:pPr>
      <w:r>
        <w:rPr>
          <w:rFonts w:hint="eastAsia" w:ascii="Times New Roman" w:hAnsi="Times New Roman" w:cs="Times New Roman"/>
          <w:sz w:val="22"/>
          <w:szCs w:val="22"/>
          <w:lang w:val="en-US" w:eastAsia="zh-CN"/>
        </w:rPr>
        <w:t>However, c</w:t>
      </w:r>
      <w:r>
        <w:rPr>
          <w:rFonts w:hint="default" w:ascii="Times New Roman" w:hAnsi="Times New Roman" w:cs="Times New Roman"/>
          <w:sz w:val="22"/>
          <w:szCs w:val="22"/>
          <w:lang w:val="en-US" w:eastAsia="zh-CN"/>
        </w:rPr>
        <w:t>onsider</w:t>
      </w:r>
      <w:r>
        <w:rPr>
          <w:rFonts w:hint="eastAsia" w:ascii="Times New Roman" w:hAnsi="Times New Roman" w:cs="Times New Roman"/>
          <w:sz w:val="22"/>
          <w:szCs w:val="22"/>
          <w:lang w:val="en-US" w:eastAsia="zh-CN"/>
        </w:rPr>
        <w:t>ing</w:t>
      </w:r>
      <w:r>
        <w:rPr>
          <w:rFonts w:hint="default" w:ascii="Times New Roman" w:hAnsi="Times New Roman" w:cs="Times New Roman"/>
          <w:sz w:val="22"/>
          <w:szCs w:val="22"/>
          <w:lang w:val="en-US" w:eastAsia="zh-CN"/>
        </w:rPr>
        <w:t xml:space="preserve"> that </w:t>
      </w:r>
      <w:r>
        <w:rPr>
          <w:rFonts w:hint="eastAsia" w:ascii="Times New Roman" w:hAnsi="Times New Roman" w:cs="Times New Roman"/>
          <w:sz w:val="22"/>
          <w:szCs w:val="22"/>
          <w:lang w:val="en-US" w:eastAsia="zh-CN"/>
        </w:rPr>
        <w:t>there are almost 47 candidate</w:t>
      </w:r>
      <w:r>
        <w:rPr>
          <w:rFonts w:hint="eastAsia" w:cs="Times New Roman"/>
          <w:sz w:val="22"/>
          <w:szCs w:val="22"/>
          <w:lang w:val="en-US" w:eastAsia="zh-CN"/>
        </w:rPr>
        <w:t xml:space="preserve"> </w:t>
      </w:r>
      <w:r>
        <w:rPr>
          <w:rFonts w:hint="eastAsia" w:ascii="Times New Roman" w:hAnsi="Times New Roman" w:cs="Times New Roman"/>
          <w:sz w:val="22"/>
          <w:szCs w:val="22"/>
          <w:lang w:val="en-US" w:eastAsia="zh-CN"/>
        </w:rPr>
        <w:t>solutions captured into TR23.700-</w:t>
      </w:r>
      <w:r>
        <w:rPr>
          <w:rFonts w:hint="eastAsia" w:cs="Times New Roman"/>
          <w:sz w:val="22"/>
          <w:szCs w:val="22"/>
          <w:lang w:val="en-US" w:eastAsia="zh-CN"/>
        </w:rPr>
        <w:t>0</w:t>
      </w:r>
      <w:bookmarkStart w:id="3" w:name="_GoBack"/>
      <w:bookmarkEnd w:id="3"/>
      <w:r>
        <w:rPr>
          <w:rFonts w:hint="eastAsia" w:ascii="Times New Roman" w:hAnsi="Times New Roman" w:cs="Times New Roman"/>
          <w:sz w:val="22"/>
          <w:szCs w:val="22"/>
          <w:lang w:val="en-US" w:eastAsia="zh-CN"/>
        </w:rPr>
        <w:t>8, we are not sure whether we can completely analyze the impact on RAN before SA2 completes WID, we suggest to wait for the completion of SA2 WID and then check the impact on RAN.</w:t>
      </w:r>
    </w:p>
    <w:p>
      <w:pPr>
        <w:jc w:val="left"/>
        <w:rPr>
          <w:rFonts w:hint="default" w:ascii="Times New Roman" w:hAnsi="Times New Roman" w:cs="Times New Roman"/>
          <w:b/>
          <w:bCs/>
          <w:sz w:val="22"/>
          <w:szCs w:val="22"/>
          <w:lang w:val="en-US" w:eastAsia="zh-CN"/>
        </w:rPr>
      </w:pPr>
      <w:r>
        <w:rPr>
          <w:rFonts w:hint="eastAsia" w:ascii="Times New Roman" w:hAnsi="Times New Roman" w:cs="Times New Roman"/>
          <w:b/>
          <w:bCs/>
          <w:sz w:val="22"/>
          <w:szCs w:val="22"/>
          <w:lang w:val="en-US" w:eastAsia="zh-CN"/>
        </w:rPr>
        <w:t>Observation 2: Considering that there are almost 47 candidate</w:t>
      </w:r>
      <w:r>
        <w:rPr>
          <w:rFonts w:hint="eastAsia" w:cs="Times New Roman"/>
          <w:b/>
          <w:bCs/>
          <w:sz w:val="22"/>
          <w:szCs w:val="22"/>
          <w:lang w:val="en-US" w:eastAsia="zh-CN"/>
        </w:rPr>
        <w:t xml:space="preserve"> </w:t>
      </w:r>
      <w:r>
        <w:rPr>
          <w:rFonts w:hint="eastAsia" w:ascii="Times New Roman" w:hAnsi="Times New Roman" w:cs="Times New Roman"/>
          <w:b/>
          <w:bCs/>
          <w:sz w:val="22"/>
          <w:szCs w:val="22"/>
          <w:lang w:val="en-US" w:eastAsia="zh-CN"/>
        </w:rPr>
        <w:t>solutions captured into TR23.700-</w:t>
      </w:r>
      <w:r>
        <w:rPr>
          <w:rFonts w:hint="eastAsia" w:cs="Times New Roman"/>
          <w:b/>
          <w:bCs/>
          <w:sz w:val="22"/>
          <w:szCs w:val="22"/>
          <w:lang w:val="en-US" w:eastAsia="zh-CN"/>
        </w:rPr>
        <w:t>0</w:t>
      </w:r>
      <w:r>
        <w:rPr>
          <w:rFonts w:hint="eastAsia" w:ascii="Times New Roman" w:hAnsi="Times New Roman" w:cs="Times New Roman"/>
          <w:b/>
          <w:bCs/>
          <w:sz w:val="22"/>
          <w:szCs w:val="22"/>
          <w:lang w:val="en-US" w:eastAsia="zh-CN"/>
        </w:rPr>
        <w:t>8, It is difficult to completely analyze the impact on RAN before SA2 completes WID.</w:t>
      </w:r>
    </w:p>
    <w:p>
      <w:pPr>
        <w:jc w:val="left"/>
        <w:rPr>
          <w:rFonts w:hint="default" w:ascii="Times New Roman" w:hAnsi="Times New Roman" w:cs="Times New Roman"/>
          <w:sz w:val="22"/>
          <w:szCs w:val="22"/>
          <w:lang w:val="en-US" w:eastAsia="zh-CN"/>
        </w:rPr>
      </w:pPr>
      <w:r>
        <w:rPr>
          <w:rFonts w:hint="eastAsia" w:ascii="Times New Roman" w:hAnsi="Times New Roman" w:cs="Times New Roman"/>
          <w:sz w:val="22"/>
          <w:szCs w:val="22"/>
          <w:lang w:val="en-US" w:eastAsia="zh-CN"/>
        </w:rPr>
        <w:t>Based on the above observations, we propose as below.</w:t>
      </w:r>
    </w:p>
    <w:p>
      <w:pPr>
        <w:jc w:val="left"/>
        <w:rPr>
          <w:rFonts w:hint="default" w:ascii="Times New Roman" w:hAnsi="Times New Roman" w:cs="Times New Roman"/>
          <w:b/>
          <w:bCs/>
          <w:sz w:val="22"/>
          <w:szCs w:val="22"/>
          <w:lang w:val="en-US" w:eastAsia="zh-CN"/>
        </w:rPr>
      </w:pPr>
      <w:r>
        <w:rPr>
          <w:rFonts w:hint="eastAsia" w:ascii="Times New Roman" w:hAnsi="Times New Roman" w:cs="Times New Roman"/>
          <w:b/>
          <w:bCs/>
          <w:sz w:val="22"/>
          <w:szCs w:val="22"/>
          <w:lang w:val="en-US" w:eastAsia="zh-CN"/>
        </w:rPr>
        <w:t>Proposal 1: Whether to start a new WI on eNPN</w:t>
      </w:r>
      <w:r>
        <w:rPr>
          <w:rFonts w:hint="eastAsia" w:cs="Times New Roman"/>
          <w:b/>
          <w:bCs/>
          <w:sz w:val="22"/>
          <w:szCs w:val="22"/>
          <w:lang w:val="en-US" w:eastAsia="zh-CN"/>
        </w:rPr>
        <w:t xml:space="preserve"> phase 2</w:t>
      </w:r>
      <w:r>
        <w:rPr>
          <w:rFonts w:hint="eastAsia" w:ascii="Times New Roman" w:hAnsi="Times New Roman" w:cs="Times New Roman"/>
          <w:b/>
          <w:bCs/>
          <w:sz w:val="22"/>
          <w:szCs w:val="22"/>
          <w:lang w:val="en-US" w:eastAsia="zh-CN"/>
        </w:rPr>
        <w:t xml:space="preserve"> can be discussed next year, after the scope of the SA2 WI is stable and when there is primary progress in SA2.</w:t>
      </w:r>
    </w:p>
    <w:p>
      <w:pPr>
        <w:pStyle w:val="2"/>
        <w:snapToGrid w:val="0"/>
        <w:rPr>
          <w:lang w:eastAsia="zh-CN"/>
        </w:rPr>
      </w:pPr>
      <w:r>
        <w:rPr>
          <w:rFonts w:hint="eastAsia"/>
          <w:lang w:val="en-US" w:eastAsia="zh-CN"/>
        </w:rPr>
        <w:t>Conclusion</w:t>
      </w:r>
    </w:p>
    <w:p>
      <w:pPr>
        <w:jc w:val="left"/>
        <w:rPr>
          <w:rFonts w:hint="default" w:ascii="Times New Roman" w:hAnsi="Times New Roman" w:cs="Times New Roman"/>
          <w:b w:val="0"/>
          <w:bCs w:val="0"/>
          <w:sz w:val="22"/>
          <w:szCs w:val="22"/>
          <w:lang w:val="en-US" w:eastAsia="zh-CN"/>
        </w:rPr>
      </w:pPr>
      <w:r>
        <w:rPr>
          <w:rFonts w:hint="eastAsia" w:cs="Times New Roman"/>
          <w:b w:val="0"/>
          <w:bCs w:val="0"/>
          <w:sz w:val="22"/>
          <w:szCs w:val="22"/>
          <w:lang w:val="en-US" w:eastAsia="zh-CN"/>
        </w:rPr>
        <w:t>O</w:t>
      </w:r>
      <w:r>
        <w:rPr>
          <w:rFonts w:hint="eastAsia" w:ascii="Times New Roman" w:hAnsi="Times New Roman" w:cs="Times New Roman"/>
          <w:b w:val="0"/>
          <w:bCs w:val="0"/>
          <w:sz w:val="22"/>
          <w:szCs w:val="22"/>
          <w:lang w:val="en-US" w:eastAsia="zh-CN"/>
        </w:rPr>
        <w:t>bservation 1: The SA2 eNPN_Ph2 WID is not stable at this stage.</w:t>
      </w:r>
    </w:p>
    <w:p>
      <w:pPr>
        <w:jc w:val="left"/>
        <w:rPr>
          <w:rFonts w:hint="default" w:ascii="Times New Roman" w:hAnsi="Times New Roman" w:cs="Times New Roman"/>
          <w:b w:val="0"/>
          <w:bCs w:val="0"/>
          <w:sz w:val="22"/>
          <w:szCs w:val="22"/>
          <w:lang w:val="en-US" w:eastAsia="zh-CN"/>
        </w:rPr>
      </w:pPr>
      <w:r>
        <w:rPr>
          <w:rFonts w:hint="eastAsia" w:ascii="Times New Roman" w:hAnsi="Times New Roman" w:cs="Times New Roman"/>
          <w:b w:val="0"/>
          <w:bCs w:val="0"/>
          <w:sz w:val="22"/>
          <w:szCs w:val="22"/>
          <w:lang w:val="en-US" w:eastAsia="zh-CN"/>
        </w:rPr>
        <w:t>Observation 2: Considering that there are almost 47 candidate</w:t>
      </w:r>
      <w:r>
        <w:rPr>
          <w:rFonts w:hint="eastAsia" w:cs="Times New Roman"/>
          <w:b w:val="0"/>
          <w:bCs w:val="0"/>
          <w:sz w:val="22"/>
          <w:szCs w:val="22"/>
          <w:lang w:val="en-US" w:eastAsia="zh-CN"/>
        </w:rPr>
        <w:t xml:space="preserve"> </w:t>
      </w:r>
      <w:r>
        <w:rPr>
          <w:rFonts w:hint="eastAsia" w:ascii="Times New Roman" w:hAnsi="Times New Roman" w:cs="Times New Roman"/>
          <w:b w:val="0"/>
          <w:bCs w:val="0"/>
          <w:sz w:val="22"/>
          <w:szCs w:val="22"/>
          <w:lang w:val="en-US" w:eastAsia="zh-CN"/>
        </w:rPr>
        <w:t>solutions captured into TR23.700-</w:t>
      </w:r>
      <w:r>
        <w:rPr>
          <w:rFonts w:hint="eastAsia" w:cs="Times New Roman"/>
          <w:b w:val="0"/>
          <w:bCs w:val="0"/>
          <w:sz w:val="22"/>
          <w:szCs w:val="22"/>
          <w:lang w:val="en-US" w:eastAsia="zh-CN"/>
        </w:rPr>
        <w:t>0</w:t>
      </w:r>
      <w:r>
        <w:rPr>
          <w:rFonts w:hint="eastAsia" w:ascii="Times New Roman" w:hAnsi="Times New Roman" w:cs="Times New Roman"/>
          <w:b w:val="0"/>
          <w:bCs w:val="0"/>
          <w:sz w:val="22"/>
          <w:szCs w:val="22"/>
          <w:lang w:val="en-US" w:eastAsia="zh-CN"/>
        </w:rPr>
        <w:t>8, It is difficult to completely analyze the impact on RAN before SA2 completes WID.</w:t>
      </w:r>
    </w:p>
    <w:p>
      <w:pPr>
        <w:jc w:val="left"/>
        <w:rPr>
          <w:rFonts w:hint="default" w:ascii="Times New Roman" w:hAnsi="Times New Roman" w:cs="Times New Roman"/>
          <w:b/>
          <w:bCs/>
          <w:sz w:val="22"/>
          <w:szCs w:val="22"/>
          <w:lang w:val="en-US" w:eastAsia="zh-CN"/>
        </w:rPr>
      </w:pPr>
      <w:r>
        <w:rPr>
          <w:rFonts w:hint="eastAsia" w:ascii="Times New Roman" w:hAnsi="Times New Roman" w:cs="Times New Roman"/>
          <w:b/>
          <w:bCs/>
          <w:sz w:val="22"/>
          <w:szCs w:val="22"/>
          <w:lang w:val="en-US" w:eastAsia="zh-CN"/>
        </w:rPr>
        <w:t>Proposal 1: Whether to start a new WI on eNPN</w:t>
      </w:r>
      <w:r>
        <w:rPr>
          <w:rFonts w:hint="eastAsia" w:cs="Times New Roman"/>
          <w:b/>
          <w:bCs/>
          <w:sz w:val="22"/>
          <w:szCs w:val="22"/>
          <w:lang w:val="en-US" w:eastAsia="zh-CN"/>
        </w:rPr>
        <w:t xml:space="preserve"> phase 2</w:t>
      </w:r>
      <w:r>
        <w:rPr>
          <w:rFonts w:hint="eastAsia" w:ascii="Times New Roman" w:hAnsi="Times New Roman" w:cs="Times New Roman"/>
          <w:b/>
          <w:bCs/>
          <w:sz w:val="22"/>
          <w:szCs w:val="22"/>
          <w:lang w:val="en-US" w:eastAsia="zh-CN"/>
        </w:rPr>
        <w:t xml:space="preserve"> can be discussed next year, after the scope of the SA2 WI is stable and when there is primary progress in SA2.</w:t>
      </w:r>
    </w:p>
    <w:p>
      <w:pPr>
        <w:pStyle w:val="114"/>
        <w:numPr>
          <w:ilvl w:val="0"/>
          <w:numId w:val="0"/>
        </w:numPr>
        <w:snapToGrid w:val="0"/>
        <w:ind w:leftChars="0"/>
        <w:rPr>
          <w:lang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6" w:usb3="00000000" w:csb0="00040001" w:csb1="00000000"/>
  </w:font>
  <w:font w:name="Cambria">
    <w:panose1 w:val="02040503050406030204"/>
    <w:charset w:val="00"/>
    <w:family w:val="roman"/>
    <w:pitch w:val="default"/>
    <w:sig w:usb0="E00002FF" w:usb1="400004FF" w:usb2="00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auto"/>
    <w:pitch w:val="default"/>
    <w:sig w:usb0="B00002AF" w:usb1="69D77CFB"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1</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2">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4">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16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5"/>
  </w:num>
  <w:num w:numId="4">
    <w:abstractNumId w:val="3"/>
  </w:num>
  <w:num w:numId="5">
    <w:abstractNumId w:val="8"/>
  </w:num>
  <w:num w:numId="6">
    <w:abstractNumId w:val="4"/>
  </w:num>
  <w:num w:numId="7">
    <w:abstractNumId w:val="2"/>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3F"/>
    <w:rsid w:val="00016441"/>
    <w:rsid w:val="0001645D"/>
    <w:rsid w:val="000164BB"/>
    <w:rsid w:val="000167A6"/>
    <w:rsid w:val="00016DCE"/>
    <w:rsid w:val="00017309"/>
    <w:rsid w:val="0001770E"/>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67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7CB"/>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1B8"/>
    <w:rsid w:val="0008022A"/>
    <w:rsid w:val="00080418"/>
    <w:rsid w:val="000805B2"/>
    <w:rsid w:val="00080D74"/>
    <w:rsid w:val="00080FA6"/>
    <w:rsid w:val="00081383"/>
    <w:rsid w:val="000822AD"/>
    <w:rsid w:val="0008230F"/>
    <w:rsid w:val="000826FF"/>
    <w:rsid w:val="00082A49"/>
    <w:rsid w:val="00082C90"/>
    <w:rsid w:val="00082D86"/>
    <w:rsid w:val="00082DAB"/>
    <w:rsid w:val="00082EC2"/>
    <w:rsid w:val="000832D0"/>
    <w:rsid w:val="00083322"/>
    <w:rsid w:val="0008399B"/>
    <w:rsid w:val="00083ABE"/>
    <w:rsid w:val="00083DB2"/>
    <w:rsid w:val="00083F52"/>
    <w:rsid w:val="00084255"/>
    <w:rsid w:val="00084746"/>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864"/>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335"/>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2BF"/>
    <w:rsid w:val="00101459"/>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4A9A"/>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7D2"/>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25"/>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5F38"/>
    <w:rsid w:val="001462D7"/>
    <w:rsid w:val="00146577"/>
    <w:rsid w:val="001465AA"/>
    <w:rsid w:val="00146773"/>
    <w:rsid w:val="0014703E"/>
    <w:rsid w:val="00147679"/>
    <w:rsid w:val="00147A30"/>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38D"/>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7BE"/>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3F5"/>
    <w:rsid w:val="001836DF"/>
    <w:rsid w:val="00183CB7"/>
    <w:rsid w:val="00183CC6"/>
    <w:rsid w:val="00183F11"/>
    <w:rsid w:val="001840F5"/>
    <w:rsid w:val="00184539"/>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65A"/>
    <w:rsid w:val="0019572A"/>
    <w:rsid w:val="0019573B"/>
    <w:rsid w:val="0019592C"/>
    <w:rsid w:val="00195E65"/>
    <w:rsid w:val="00196085"/>
    <w:rsid w:val="00196B90"/>
    <w:rsid w:val="00196DE8"/>
    <w:rsid w:val="00196FF4"/>
    <w:rsid w:val="001970EF"/>
    <w:rsid w:val="0019734F"/>
    <w:rsid w:val="00197624"/>
    <w:rsid w:val="001A0303"/>
    <w:rsid w:val="001A0313"/>
    <w:rsid w:val="001A050E"/>
    <w:rsid w:val="001A0676"/>
    <w:rsid w:val="001A067A"/>
    <w:rsid w:val="001A06C8"/>
    <w:rsid w:val="001A1337"/>
    <w:rsid w:val="001A1941"/>
    <w:rsid w:val="001A1CAA"/>
    <w:rsid w:val="001A2242"/>
    <w:rsid w:val="001A2939"/>
    <w:rsid w:val="001A2A1D"/>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090"/>
    <w:rsid w:val="001B4371"/>
    <w:rsid w:val="001B5332"/>
    <w:rsid w:val="001B54E9"/>
    <w:rsid w:val="001B55DE"/>
    <w:rsid w:val="001B635D"/>
    <w:rsid w:val="001B6759"/>
    <w:rsid w:val="001B70CF"/>
    <w:rsid w:val="001B719E"/>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59E"/>
    <w:rsid w:val="001D2B3C"/>
    <w:rsid w:val="001D2E6C"/>
    <w:rsid w:val="001D2F8F"/>
    <w:rsid w:val="001D35DC"/>
    <w:rsid w:val="001D43C0"/>
    <w:rsid w:val="001D448E"/>
    <w:rsid w:val="001D4969"/>
    <w:rsid w:val="001D4AF0"/>
    <w:rsid w:val="001D4F24"/>
    <w:rsid w:val="001D4FCB"/>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08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2C"/>
    <w:rsid w:val="001F5C95"/>
    <w:rsid w:val="001F5C9E"/>
    <w:rsid w:val="001F5E73"/>
    <w:rsid w:val="001F5ED8"/>
    <w:rsid w:val="001F5F10"/>
    <w:rsid w:val="001F644E"/>
    <w:rsid w:val="001F69D4"/>
    <w:rsid w:val="001F6E45"/>
    <w:rsid w:val="001F7307"/>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37B"/>
    <w:rsid w:val="00224A38"/>
    <w:rsid w:val="00224A9B"/>
    <w:rsid w:val="00225063"/>
    <w:rsid w:val="00225F53"/>
    <w:rsid w:val="00226275"/>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0EF"/>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7AD"/>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253D"/>
    <w:rsid w:val="002530D6"/>
    <w:rsid w:val="002530D9"/>
    <w:rsid w:val="00253146"/>
    <w:rsid w:val="0025325D"/>
    <w:rsid w:val="002533FF"/>
    <w:rsid w:val="00253400"/>
    <w:rsid w:val="002537F5"/>
    <w:rsid w:val="00253868"/>
    <w:rsid w:val="00253905"/>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6B3"/>
    <w:rsid w:val="00265701"/>
    <w:rsid w:val="00265CB1"/>
    <w:rsid w:val="00265E9A"/>
    <w:rsid w:val="00266111"/>
    <w:rsid w:val="00266210"/>
    <w:rsid w:val="002664FA"/>
    <w:rsid w:val="00266867"/>
    <w:rsid w:val="0026716C"/>
    <w:rsid w:val="00267221"/>
    <w:rsid w:val="002676E2"/>
    <w:rsid w:val="00267819"/>
    <w:rsid w:val="00267FE3"/>
    <w:rsid w:val="00270259"/>
    <w:rsid w:val="00270611"/>
    <w:rsid w:val="002706CC"/>
    <w:rsid w:val="002708DA"/>
    <w:rsid w:val="00270C63"/>
    <w:rsid w:val="00270C98"/>
    <w:rsid w:val="00270CF1"/>
    <w:rsid w:val="00270E57"/>
    <w:rsid w:val="00270E80"/>
    <w:rsid w:val="002711C3"/>
    <w:rsid w:val="002713CE"/>
    <w:rsid w:val="0027188A"/>
    <w:rsid w:val="0027193C"/>
    <w:rsid w:val="00271EEF"/>
    <w:rsid w:val="0027229E"/>
    <w:rsid w:val="0027242C"/>
    <w:rsid w:val="00272474"/>
    <w:rsid w:val="0027257A"/>
    <w:rsid w:val="00272736"/>
    <w:rsid w:val="00272BC8"/>
    <w:rsid w:val="00272C2E"/>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00C"/>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B20"/>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0DF"/>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3D0"/>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BAD"/>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7BB"/>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7B3"/>
    <w:rsid w:val="002E2923"/>
    <w:rsid w:val="002E2A76"/>
    <w:rsid w:val="002E306D"/>
    <w:rsid w:val="002E3653"/>
    <w:rsid w:val="002E38B7"/>
    <w:rsid w:val="002E4301"/>
    <w:rsid w:val="002E52D5"/>
    <w:rsid w:val="002E58E1"/>
    <w:rsid w:val="002E5BDD"/>
    <w:rsid w:val="002E5C56"/>
    <w:rsid w:val="002E5D86"/>
    <w:rsid w:val="002E5DD7"/>
    <w:rsid w:val="002E6809"/>
    <w:rsid w:val="002E732F"/>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91C"/>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2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1C1"/>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3E4"/>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3B"/>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59B"/>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48A"/>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43D"/>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2BF"/>
    <w:rsid w:val="00422A01"/>
    <w:rsid w:val="00422D62"/>
    <w:rsid w:val="00422DB5"/>
    <w:rsid w:val="004232CC"/>
    <w:rsid w:val="004232D4"/>
    <w:rsid w:val="00423326"/>
    <w:rsid w:val="00423FE1"/>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3E9"/>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B4F"/>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33B"/>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3BD"/>
    <w:rsid w:val="00497404"/>
    <w:rsid w:val="00497C03"/>
    <w:rsid w:val="004A01E1"/>
    <w:rsid w:val="004A0911"/>
    <w:rsid w:val="004A0E00"/>
    <w:rsid w:val="004A0F3C"/>
    <w:rsid w:val="004A14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313"/>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C7EEE"/>
    <w:rsid w:val="004D0328"/>
    <w:rsid w:val="004D03CE"/>
    <w:rsid w:val="004D03E0"/>
    <w:rsid w:val="004D0E42"/>
    <w:rsid w:val="004D0FA5"/>
    <w:rsid w:val="004D1059"/>
    <w:rsid w:val="004D1445"/>
    <w:rsid w:val="004D17E6"/>
    <w:rsid w:val="004D1A33"/>
    <w:rsid w:val="004D1C2E"/>
    <w:rsid w:val="004D1C35"/>
    <w:rsid w:val="004D1D64"/>
    <w:rsid w:val="004D1DBB"/>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24"/>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253F"/>
    <w:rsid w:val="0054340E"/>
    <w:rsid w:val="0054348B"/>
    <w:rsid w:val="005436D7"/>
    <w:rsid w:val="00543703"/>
    <w:rsid w:val="00543A06"/>
    <w:rsid w:val="00543A66"/>
    <w:rsid w:val="00543A83"/>
    <w:rsid w:val="00543B1F"/>
    <w:rsid w:val="00543FA3"/>
    <w:rsid w:val="00544899"/>
    <w:rsid w:val="00544F4B"/>
    <w:rsid w:val="005452C0"/>
    <w:rsid w:val="0054556F"/>
    <w:rsid w:val="0054564F"/>
    <w:rsid w:val="005456AD"/>
    <w:rsid w:val="00545C3D"/>
    <w:rsid w:val="00545E6A"/>
    <w:rsid w:val="00546310"/>
    <w:rsid w:val="00546738"/>
    <w:rsid w:val="005467D6"/>
    <w:rsid w:val="00546942"/>
    <w:rsid w:val="00546CDA"/>
    <w:rsid w:val="00546D63"/>
    <w:rsid w:val="005471A3"/>
    <w:rsid w:val="005477DD"/>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3B86"/>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3B5"/>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CA1"/>
    <w:rsid w:val="00563FD2"/>
    <w:rsid w:val="0056434D"/>
    <w:rsid w:val="00564597"/>
    <w:rsid w:val="00564EB9"/>
    <w:rsid w:val="00564ED1"/>
    <w:rsid w:val="00565321"/>
    <w:rsid w:val="0056579F"/>
    <w:rsid w:val="00565B33"/>
    <w:rsid w:val="00566855"/>
    <w:rsid w:val="00566A92"/>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0ED9"/>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30"/>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901"/>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62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46D"/>
    <w:rsid w:val="005F1506"/>
    <w:rsid w:val="005F1543"/>
    <w:rsid w:val="005F1FE4"/>
    <w:rsid w:val="005F2528"/>
    <w:rsid w:val="005F27D4"/>
    <w:rsid w:val="005F328C"/>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5F4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17FC7"/>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8DF"/>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2B2"/>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6E4D"/>
    <w:rsid w:val="006A74C0"/>
    <w:rsid w:val="006A7574"/>
    <w:rsid w:val="006A76A6"/>
    <w:rsid w:val="006B0489"/>
    <w:rsid w:val="006B05F5"/>
    <w:rsid w:val="006B0A30"/>
    <w:rsid w:val="006B1213"/>
    <w:rsid w:val="006B15A4"/>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815"/>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504"/>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1EA9"/>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89D"/>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80B"/>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080"/>
    <w:rsid w:val="007101A6"/>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A3B"/>
    <w:rsid w:val="00727E3C"/>
    <w:rsid w:val="00727E9F"/>
    <w:rsid w:val="00730115"/>
    <w:rsid w:val="007306D2"/>
    <w:rsid w:val="00730F0F"/>
    <w:rsid w:val="00730FB9"/>
    <w:rsid w:val="007310DD"/>
    <w:rsid w:val="0073128B"/>
    <w:rsid w:val="0073150C"/>
    <w:rsid w:val="0073171A"/>
    <w:rsid w:val="007325D3"/>
    <w:rsid w:val="00732885"/>
    <w:rsid w:val="00733575"/>
    <w:rsid w:val="00733858"/>
    <w:rsid w:val="00733A80"/>
    <w:rsid w:val="0073406C"/>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C77"/>
    <w:rsid w:val="00752FE7"/>
    <w:rsid w:val="0075322A"/>
    <w:rsid w:val="00753F01"/>
    <w:rsid w:val="0075412E"/>
    <w:rsid w:val="007545E6"/>
    <w:rsid w:val="00754747"/>
    <w:rsid w:val="00754D64"/>
    <w:rsid w:val="00754FCC"/>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678D5"/>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96"/>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04B"/>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356"/>
    <w:rsid w:val="007926B7"/>
    <w:rsid w:val="00792AD3"/>
    <w:rsid w:val="00792BEC"/>
    <w:rsid w:val="00792ECC"/>
    <w:rsid w:val="007935A9"/>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3DE"/>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348"/>
    <w:rsid w:val="00816A54"/>
    <w:rsid w:val="00816D60"/>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102"/>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8C2"/>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2C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200"/>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1C9C"/>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3DD0"/>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88C"/>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8AE"/>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5CA"/>
    <w:rsid w:val="009156C5"/>
    <w:rsid w:val="0091610F"/>
    <w:rsid w:val="009161BA"/>
    <w:rsid w:val="00917E0A"/>
    <w:rsid w:val="0092016F"/>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1F7"/>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5F7F"/>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3F9D"/>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0D1"/>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AFD"/>
    <w:rsid w:val="009B3C79"/>
    <w:rsid w:val="009B3D2F"/>
    <w:rsid w:val="009B3D47"/>
    <w:rsid w:val="009B4250"/>
    <w:rsid w:val="009B4605"/>
    <w:rsid w:val="009B4821"/>
    <w:rsid w:val="009B4867"/>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5896"/>
    <w:rsid w:val="009C5EFE"/>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652"/>
    <w:rsid w:val="009F483A"/>
    <w:rsid w:val="009F4F05"/>
    <w:rsid w:val="009F523E"/>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1FC3"/>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3A8"/>
    <w:rsid w:val="00A265D9"/>
    <w:rsid w:val="00A26883"/>
    <w:rsid w:val="00A26C93"/>
    <w:rsid w:val="00A26D60"/>
    <w:rsid w:val="00A26EE0"/>
    <w:rsid w:val="00A2702B"/>
    <w:rsid w:val="00A279DC"/>
    <w:rsid w:val="00A30531"/>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56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1B2"/>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09"/>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7FD"/>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E80"/>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9F2"/>
    <w:rsid w:val="00AA2CD8"/>
    <w:rsid w:val="00AA30A2"/>
    <w:rsid w:val="00AA461D"/>
    <w:rsid w:val="00AA4814"/>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12C"/>
    <w:rsid w:val="00AB2857"/>
    <w:rsid w:val="00AB2B64"/>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A91"/>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5C5"/>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1F0"/>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1B9"/>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BEA"/>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545"/>
    <w:rsid w:val="00B62894"/>
    <w:rsid w:val="00B62A18"/>
    <w:rsid w:val="00B62F1E"/>
    <w:rsid w:val="00B633BA"/>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5E2F"/>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751"/>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44F"/>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546"/>
    <w:rsid w:val="00B95A04"/>
    <w:rsid w:val="00B95C49"/>
    <w:rsid w:val="00B95EEF"/>
    <w:rsid w:val="00B95FD7"/>
    <w:rsid w:val="00B96228"/>
    <w:rsid w:val="00B96313"/>
    <w:rsid w:val="00B96CF0"/>
    <w:rsid w:val="00B96DA2"/>
    <w:rsid w:val="00B97167"/>
    <w:rsid w:val="00B977E6"/>
    <w:rsid w:val="00B97AD5"/>
    <w:rsid w:val="00BA067F"/>
    <w:rsid w:val="00BA0B92"/>
    <w:rsid w:val="00BA0DC0"/>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A7F19"/>
    <w:rsid w:val="00BB008F"/>
    <w:rsid w:val="00BB0528"/>
    <w:rsid w:val="00BB070E"/>
    <w:rsid w:val="00BB0D75"/>
    <w:rsid w:val="00BB1286"/>
    <w:rsid w:val="00BB128C"/>
    <w:rsid w:val="00BB1408"/>
    <w:rsid w:val="00BB1C4F"/>
    <w:rsid w:val="00BB1DA1"/>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734"/>
    <w:rsid w:val="00BB7DB1"/>
    <w:rsid w:val="00BC01E0"/>
    <w:rsid w:val="00BC0AE6"/>
    <w:rsid w:val="00BC1293"/>
    <w:rsid w:val="00BC16BF"/>
    <w:rsid w:val="00BC1B4B"/>
    <w:rsid w:val="00BC201A"/>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46A"/>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00"/>
    <w:rsid w:val="00BD4A64"/>
    <w:rsid w:val="00BD5A1E"/>
    <w:rsid w:val="00BD5A26"/>
    <w:rsid w:val="00BD5A74"/>
    <w:rsid w:val="00BD5D4D"/>
    <w:rsid w:val="00BD5DC6"/>
    <w:rsid w:val="00BD614C"/>
    <w:rsid w:val="00BD6398"/>
    <w:rsid w:val="00BD6509"/>
    <w:rsid w:val="00BD689C"/>
    <w:rsid w:val="00BD6909"/>
    <w:rsid w:val="00BD6980"/>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052"/>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1E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AA1"/>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5F72"/>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30"/>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0E2"/>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5E"/>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6E74"/>
    <w:rsid w:val="00C870BA"/>
    <w:rsid w:val="00C8781D"/>
    <w:rsid w:val="00C878E9"/>
    <w:rsid w:val="00C87AF9"/>
    <w:rsid w:val="00C901A9"/>
    <w:rsid w:val="00C9037C"/>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BDD"/>
    <w:rsid w:val="00CB4FA5"/>
    <w:rsid w:val="00CB5008"/>
    <w:rsid w:val="00CB58DD"/>
    <w:rsid w:val="00CB59CB"/>
    <w:rsid w:val="00CB6135"/>
    <w:rsid w:val="00CB6343"/>
    <w:rsid w:val="00CB6517"/>
    <w:rsid w:val="00CB7648"/>
    <w:rsid w:val="00CB79A4"/>
    <w:rsid w:val="00CB7B6B"/>
    <w:rsid w:val="00CB7F5F"/>
    <w:rsid w:val="00CC00B7"/>
    <w:rsid w:val="00CC034B"/>
    <w:rsid w:val="00CC05A9"/>
    <w:rsid w:val="00CC07BA"/>
    <w:rsid w:val="00CC099A"/>
    <w:rsid w:val="00CC0AA7"/>
    <w:rsid w:val="00CC0E56"/>
    <w:rsid w:val="00CC124C"/>
    <w:rsid w:val="00CC1555"/>
    <w:rsid w:val="00CC15E7"/>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4F3"/>
    <w:rsid w:val="00CF5E07"/>
    <w:rsid w:val="00CF5E86"/>
    <w:rsid w:val="00CF5EE9"/>
    <w:rsid w:val="00CF61A3"/>
    <w:rsid w:val="00CF66DE"/>
    <w:rsid w:val="00CF6848"/>
    <w:rsid w:val="00CF6AF3"/>
    <w:rsid w:val="00CF6C9A"/>
    <w:rsid w:val="00CF74F6"/>
    <w:rsid w:val="00CF7521"/>
    <w:rsid w:val="00CF76AE"/>
    <w:rsid w:val="00CF7C01"/>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C6"/>
    <w:rsid w:val="00D03C72"/>
    <w:rsid w:val="00D04A63"/>
    <w:rsid w:val="00D04FC8"/>
    <w:rsid w:val="00D050BA"/>
    <w:rsid w:val="00D05330"/>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5"/>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263"/>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67F"/>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4F30"/>
    <w:rsid w:val="00D65404"/>
    <w:rsid w:val="00D6575A"/>
    <w:rsid w:val="00D65837"/>
    <w:rsid w:val="00D65DD6"/>
    <w:rsid w:val="00D66008"/>
    <w:rsid w:val="00D66022"/>
    <w:rsid w:val="00D66065"/>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0F4"/>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401"/>
    <w:rsid w:val="00D83850"/>
    <w:rsid w:val="00D84268"/>
    <w:rsid w:val="00D84278"/>
    <w:rsid w:val="00D846C5"/>
    <w:rsid w:val="00D847C6"/>
    <w:rsid w:val="00D84EF8"/>
    <w:rsid w:val="00D84F16"/>
    <w:rsid w:val="00D84FF0"/>
    <w:rsid w:val="00D855BA"/>
    <w:rsid w:val="00D85BD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6C1"/>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37"/>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B26"/>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A29"/>
    <w:rsid w:val="00DE2D4B"/>
    <w:rsid w:val="00DE34C6"/>
    <w:rsid w:val="00DE3D42"/>
    <w:rsid w:val="00DE3E7C"/>
    <w:rsid w:val="00DE42A3"/>
    <w:rsid w:val="00DE464E"/>
    <w:rsid w:val="00DE4664"/>
    <w:rsid w:val="00DE4811"/>
    <w:rsid w:val="00DE4B0C"/>
    <w:rsid w:val="00DE5794"/>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7F"/>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3F1"/>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CC9"/>
    <w:rsid w:val="00E47821"/>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7B5"/>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9F8"/>
    <w:rsid w:val="00ED0DE8"/>
    <w:rsid w:val="00ED0EB9"/>
    <w:rsid w:val="00ED1A21"/>
    <w:rsid w:val="00ED1A39"/>
    <w:rsid w:val="00ED1CD6"/>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18F"/>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773"/>
    <w:rsid w:val="00EE58F6"/>
    <w:rsid w:val="00EE5D39"/>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89"/>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6A52"/>
    <w:rsid w:val="00F27000"/>
    <w:rsid w:val="00F27776"/>
    <w:rsid w:val="00F27CE7"/>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686"/>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658"/>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87E49"/>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6C9"/>
    <w:rsid w:val="00FA3871"/>
    <w:rsid w:val="00FA39FB"/>
    <w:rsid w:val="00FA3C84"/>
    <w:rsid w:val="00FA4131"/>
    <w:rsid w:val="00FA44AA"/>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73548"/>
    <w:rsid w:val="01404A4E"/>
    <w:rsid w:val="01E07E1E"/>
    <w:rsid w:val="0284643E"/>
    <w:rsid w:val="031B602E"/>
    <w:rsid w:val="03532C3F"/>
    <w:rsid w:val="03B25C4C"/>
    <w:rsid w:val="03F94E83"/>
    <w:rsid w:val="03FA1CC5"/>
    <w:rsid w:val="03FC4856"/>
    <w:rsid w:val="046942AE"/>
    <w:rsid w:val="048A71C2"/>
    <w:rsid w:val="04ED6BB3"/>
    <w:rsid w:val="054A3BE8"/>
    <w:rsid w:val="056B6146"/>
    <w:rsid w:val="05780B89"/>
    <w:rsid w:val="059D0829"/>
    <w:rsid w:val="060B7E43"/>
    <w:rsid w:val="06721CA3"/>
    <w:rsid w:val="067D4C1C"/>
    <w:rsid w:val="06B127E5"/>
    <w:rsid w:val="06F12BA8"/>
    <w:rsid w:val="072F2729"/>
    <w:rsid w:val="07C21FA9"/>
    <w:rsid w:val="07F62D01"/>
    <w:rsid w:val="08803246"/>
    <w:rsid w:val="089735CE"/>
    <w:rsid w:val="0957797D"/>
    <w:rsid w:val="0972706B"/>
    <w:rsid w:val="09C21BB6"/>
    <w:rsid w:val="0A7373D0"/>
    <w:rsid w:val="0A7874BB"/>
    <w:rsid w:val="0A867EAB"/>
    <w:rsid w:val="0ADB7658"/>
    <w:rsid w:val="0AFC60B7"/>
    <w:rsid w:val="0B7E61E5"/>
    <w:rsid w:val="0B8F7AF8"/>
    <w:rsid w:val="0BAD7041"/>
    <w:rsid w:val="0BE156F1"/>
    <w:rsid w:val="0BF5648B"/>
    <w:rsid w:val="0BFC45F9"/>
    <w:rsid w:val="0C0822EF"/>
    <w:rsid w:val="0C6F5654"/>
    <w:rsid w:val="0CE02C7E"/>
    <w:rsid w:val="0D132BA9"/>
    <w:rsid w:val="0D570B9C"/>
    <w:rsid w:val="0D584F6B"/>
    <w:rsid w:val="0D660AC2"/>
    <w:rsid w:val="0D672BF6"/>
    <w:rsid w:val="0D7A541B"/>
    <w:rsid w:val="0E120AD5"/>
    <w:rsid w:val="0E4E3BFF"/>
    <w:rsid w:val="0E884471"/>
    <w:rsid w:val="0EB06FFE"/>
    <w:rsid w:val="0F485764"/>
    <w:rsid w:val="10150A41"/>
    <w:rsid w:val="10520EC3"/>
    <w:rsid w:val="11206F97"/>
    <w:rsid w:val="11244EB3"/>
    <w:rsid w:val="11B609A7"/>
    <w:rsid w:val="11DE44B7"/>
    <w:rsid w:val="1257267A"/>
    <w:rsid w:val="129F4AEC"/>
    <w:rsid w:val="12A472D8"/>
    <w:rsid w:val="12E95D49"/>
    <w:rsid w:val="12FE321B"/>
    <w:rsid w:val="130859B8"/>
    <w:rsid w:val="1352144E"/>
    <w:rsid w:val="13655B1D"/>
    <w:rsid w:val="13A83BCE"/>
    <w:rsid w:val="13B5695B"/>
    <w:rsid w:val="141F2191"/>
    <w:rsid w:val="1575AEB2"/>
    <w:rsid w:val="164F7F6D"/>
    <w:rsid w:val="165441D4"/>
    <w:rsid w:val="165E068A"/>
    <w:rsid w:val="1702D3F2"/>
    <w:rsid w:val="171F39F3"/>
    <w:rsid w:val="184E0CDF"/>
    <w:rsid w:val="188C75A9"/>
    <w:rsid w:val="188D2058"/>
    <w:rsid w:val="18BA7603"/>
    <w:rsid w:val="18FD3F86"/>
    <w:rsid w:val="192B740B"/>
    <w:rsid w:val="19497C62"/>
    <w:rsid w:val="19B10D8D"/>
    <w:rsid w:val="1A514204"/>
    <w:rsid w:val="1A935EB8"/>
    <w:rsid w:val="1AE5086C"/>
    <w:rsid w:val="1B2E5429"/>
    <w:rsid w:val="1B2E6DC7"/>
    <w:rsid w:val="1B3E1C23"/>
    <w:rsid w:val="1B5316CE"/>
    <w:rsid w:val="1B5E59D2"/>
    <w:rsid w:val="1C040825"/>
    <w:rsid w:val="1C0E5DBC"/>
    <w:rsid w:val="1C66124C"/>
    <w:rsid w:val="1C766428"/>
    <w:rsid w:val="1CC27DD3"/>
    <w:rsid w:val="1D316449"/>
    <w:rsid w:val="1D665513"/>
    <w:rsid w:val="1DBF5754"/>
    <w:rsid w:val="1DD50930"/>
    <w:rsid w:val="1DEB1E8A"/>
    <w:rsid w:val="1DF407BB"/>
    <w:rsid w:val="1E38003B"/>
    <w:rsid w:val="1EE716B6"/>
    <w:rsid w:val="1F2457C4"/>
    <w:rsid w:val="1F850095"/>
    <w:rsid w:val="1F894BC5"/>
    <w:rsid w:val="1FB91CD0"/>
    <w:rsid w:val="1FD96A8E"/>
    <w:rsid w:val="20040E85"/>
    <w:rsid w:val="20910CB1"/>
    <w:rsid w:val="20CD42FE"/>
    <w:rsid w:val="21035A99"/>
    <w:rsid w:val="21282288"/>
    <w:rsid w:val="21350DB3"/>
    <w:rsid w:val="218D1DC4"/>
    <w:rsid w:val="21C15CCD"/>
    <w:rsid w:val="21DD6134"/>
    <w:rsid w:val="21F51FE5"/>
    <w:rsid w:val="226B4D62"/>
    <w:rsid w:val="227D7143"/>
    <w:rsid w:val="22CA40F2"/>
    <w:rsid w:val="230D24CF"/>
    <w:rsid w:val="23680C07"/>
    <w:rsid w:val="239E142D"/>
    <w:rsid w:val="23FB7BF7"/>
    <w:rsid w:val="240D27C8"/>
    <w:rsid w:val="24583754"/>
    <w:rsid w:val="245870DE"/>
    <w:rsid w:val="247247A7"/>
    <w:rsid w:val="2473146A"/>
    <w:rsid w:val="252B5C82"/>
    <w:rsid w:val="259963BA"/>
    <w:rsid w:val="25D36249"/>
    <w:rsid w:val="25E20510"/>
    <w:rsid w:val="264857C4"/>
    <w:rsid w:val="27A40D69"/>
    <w:rsid w:val="27C5366D"/>
    <w:rsid w:val="27DD67CA"/>
    <w:rsid w:val="283410FB"/>
    <w:rsid w:val="28690808"/>
    <w:rsid w:val="28B07E55"/>
    <w:rsid w:val="28B54AA2"/>
    <w:rsid w:val="28FE7363"/>
    <w:rsid w:val="291A0EC6"/>
    <w:rsid w:val="29305D23"/>
    <w:rsid w:val="294D6347"/>
    <w:rsid w:val="2A0F0B23"/>
    <w:rsid w:val="2AFE2B7E"/>
    <w:rsid w:val="2BEC074A"/>
    <w:rsid w:val="2C1E00F8"/>
    <w:rsid w:val="2C7862A6"/>
    <w:rsid w:val="2CB539E6"/>
    <w:rsid w:val="2CC038FC"/>
    <w:rsid w:val="2CC05675"/>
    <w:rsid w:val="2D2054ED"/>
    <w:rsid w:val="2D376513"/>
    <w:rsid w:val="2D3B1F65"/>
    <w:rsid w:val="2DA07693"/>
    <w:rsid w:val="2DC863F1"/>
    <w:rsid w:val="2EB72406"/>
    <w:rsid w:val="2F2367DE"/>
    <w:rsid w:val="2F682FFA"/>
    <w:rsid w:val="2F7965E8"/>
    <w:rsid w:val="3049691D"/>
    <w:rsid w:val="31204FF0"/>
    <w:rsid w:val="31542D3B"/>
    <w:rsid w:val="31A276D9"/>
    <w:rsid w:val="322A30C1"/>
    <w:rsid w:val="32521735"/>
    <w:rsid w:val="32832752"/>
    <w:rsid w:val="32AF4A4B"/>
    <w:rsid w:val="32CF7C0E"/>
    <w:rsid w:val="32FE23BF"/>
    <w:rsid w:val="330E6893"/>
    <w:rsid w:val="33783BD5"/>
    <w:rsid w:val="33DE0CB9"/>
    <w:rsid w:val="340E0F36"/>
    <w:rsid w:val="34457AEF"/>
    <w:rsid w:val="34B96A64"/>
    <w:rsid w:val="34CE1B69"/>
    <w:rsid w:val="350E643E"/>
    <w:rsid w:val="3511129D"/>
    <w:rsid w:val="3526273F"/>
    <w:rsid w:val="359455FE"/>
    <w:rsid w:val="36714917"/>
    <w:rsid w:val="36CD07B0"/>
    <w:rsid w:val="36D90C97"/>
    <w:rsid w:val="36E060B4"/>
    <w:rsid w:val="373F47FD"/>
    <w:rsid w:val="375C57D7"/>
    <w:rsid w:val="37DD651E"/>
    <w:rsid w:val="38702297"/>
    <w:rsid w:val="38AF7030"/>
    <w:rsid w:val="38BA113F"/>
    <w:rsid w:val="3A135075"/>
    <w:rsid w:val="3A8424B5"/>
    <w:rsid w:val="3A855146"/>
    <w:rsid w:val="3AB31D0C"/>
    <w:rsid w:val="3AE203A5"/>
    <w:rsid w:val="3B002A64"/>
    <w:rsid w:val="3B060512"/>
    <w:rsid w:val="3B4A3B53"/>
    <w:rsid w:val="3BEF342C"/>
    <w:rsid w:val="3BF47021"/>
    <w:rsid w:val="3C923082"/>
    <w:rsid w:val="3CE057D8"/>
    <w:rsid w:val="3CEB369A"/>
    <w:rsid w:val="3D0354C7"/>
    <w:rsid w:val="3D6019C7"/>
    <w:rsid w:val="3D7642C9"/>
    <w:rsid w:val="3DDA6D42"/>
    <w:rsid w:val="3E372BCC"/>
    <w:rsid w:val="3E7347F4"/>
    <w:rsid w:val="3EA42DF7"/>
    <w:rsid w:val="3ED44FF7"/>
    <w:rsid w:val="3EF83C43"/>
    <w:rsid w:val="3F01664D"/>
    <w:rsid w:val="3F175FC8"/>
    <w:rsid w:val="3F3C0D01"/>
    <w:rsid w:val="3FB24717"/>
    <w:rsid w:val="3FB4592C"/>
    <w:rsid w:val="3FD010A5"/>
    <w:rsid w:val="40431302"/>
    <w:rsid w:val="4075150E"/>
    <w:rsid w:val="40850DCD"/>
    <w:rsid w:val="411D1AC2"/>
    <w:rsid w:val="41AC1D9C"/>
    <w:rsid w:val="42094EC3"/>
    <w:rsid w:val="4242619A"/>
    <w:rsid w:val="42B20782"/>
    <w:rsid w:val="42D56493"/>
    <w:rsid w:val="43456CFD"/>
    <w:rsid w:val="437B44D8"/>
    <w:rsid w:val="441C2E6C"/>
    <w:rsid w:val="44917C93"/>
    <w:rsid w:val="44AF3E4D"/>
    <w:rsid w:val="450F3F7D"/>
    <w:rsid w:val="45673B0C"/>
    <w:rsid w:val="45E70BE3"/>
    <w:rsid w:val="45F53F3A"/>
    <w:rsid w:val="461665A6"/>
    <w:rsid w:val="46583494"/>
    <w:rsid w:val="46AE69A1"/>
    <w:rsid w:val="46D41E44"/>
    <w:rsid w:val="47067C0D"/>
    <w:rsid w:val="47AE2F53"/>
    <w:rsid w:val="47D53824"/>
    <w:rsid w:val="49446ABC"/>
    <w:rsid w:val="496938E0"/>
    <w:rsid w:val="49882B35"/>
    <w:rsid w:val="49D277E1"/>
    <w:rsid w:val="4A2A1BF5"/>
    <w:rsid w:val="4A547400"/>
    <w:rsid w:val="4B3872E6"/>
    <w:rsid w:val="4B412EF2"/>
    <w:rsid w:val="4BA13D2C"/>
    <w:rsid w:val="4C2713C2"/>
    <w:rsid w:val="4C3E334E"/>
    <w:rsid w:val="4C41578A"/>
    <w:rsid w:val="4C5170CF"/>
    <w:rsid w:val="4C941F7D"/>
    <w:rsid w:val="4CA149AE"/>
    <w:rsid w:val="4D7F7890"/>
    <w:rsid w:val="4DBC1792"/>
    <w:rsid w:val="4DCB60DD"/>
    <w:rsid w:val="4DD819EC"/>
    <w:rsid w:val="4DF51404"/>
    <w:rsid w:val="4E5633F4"/>
    <w:rsid w:val="4E59362E"/>
    <w:rsid w:val="4E7740D9"/>
    <w:rsid w:val="4EAC0AFF"/>
    <w:rsid w:val="4EC2021D"/>
    <w:rsid w:val="50075A13"/>
    <w:rsid w:val="50275CB3"/>
    <w:rsid w:val="50FD13B2"/>
    <w:rsid w:val="5157519E"/>
    <w:rsid w:val="51BD49DA"/>
    <w:rsid w:val="51DB2462"/>
    <w:rsid w:val="52200BF9"/>
    <w:rsid w:val="522E21B9"/>
    <w:rsid w:val="52FE30BB"/>
    <w:rsid w:val="536E79E7"/>
    <w:rsid w:val="539B6E21"/>
    <w:rsid w:val="53FA6FAE"/>
    <w:rsid w:val="54CE2507"/>
    <w:rsid w:val="55181CD2"/>
    <w:rsid w:val="55485E79"/>
    <w:rsid w:val="55804571"/>
    <w:rsid w:val="55D01D97"/>
    <w:rsid w:val="566E4AE4"/>
    <w:rsid w:val="568F21E8"/>
    <w:rsid w:val="56C007B8"/>
    <w:rsid w:val="56E45138"/>
    <w:rsid w:val="56F73F31"/>
    <w:rsid w:val="57244B18"/>
    <w:rsid w:val="577A7494"/>
    <w:rsid w:val="5784739B"/>
    <w:rsid w:val="57AE3DD2"/>
    <w:rsid w:val="57B136A9"/>
    <w:rsid w:val="57EF6871"/>
    <w:rsid w:val="58240039"/>
    <w:rsid w:val="58850842"/>
    <w:rsid w:val="593025E2"/>
    <w:rsid w:val="595A121E"/>
    <w:rsid w:val="598F0FB3"/>
    <w:rsid w:val="59C75644"/>
    <w:rsid w:val="5AF07FF7"/>
    <w:rsid w:val="5AF422E5"/>
    <w:rsid w:val="5BD007DF"/>
    <w:rsid w:val="5BF26431"/>
    <w:rsid w:val="5C04154C"/>
    <w:rsid w:val="5C550611"/>
    <w:rsid w:val="5D9841E3"/>
    <w:rsid w:val="5DA749E0"/>
    <w:rsid w:val="5DB02D5E"/>
    <w:rsid w:val="5E780DEA"/>
    <w:rsid w:val="5E7964AD"/>
    <w:rsid w:val="5EDD615E"/>
    <w:rsid w:val="5F631FA8"/>
    <w:rsid w:val="5F9C23D5"/>
    <w:rsid w:val="5FD5652E"/>
    <w:rsid w:val="60694834"/>
    <w:rsid w:val="614D5B85"/>
    <w:rsid w:val="61CF51A5"/>
    <w:rsid w:val="62772955"/>
    <w:rsid w:val="630319E4"/>
    <w:rsid w:val="63F166BB"/>
    <w:rsid w:val="6426766C"/>
    <w:rsid w:val="6454564E"/>
    <w:rsid w:val="6467004C"/>
    <w:rsid w:val="64A273B9"/>
    <w:rsid w:val="64DD291B"/>
    <w:rsid w:val="65507243"/>
    <w:rsid w:val="65576B9C"/>
    <w:rsid w:val="656027FF"/>
    <w:rsid w:val="657A6CCC"/>
    <w:rsid w:val="65AE07B1"/>
    <w:rsid w:val="661E38F1"/>
    <w:rsid w:val="66457E51"/>
    <w:rsid w:val="666E1A16"/>
    <w:rsid w:val="6680376E"/>
    <w:rsid w:val="66ED31EA"/>
    <w:rsid w:val="671663D7"/>
    <w:rsid w:val="678F72DC"/>
    <w:rsid w:val="67BB45BB"/>
    <w:rsid w:val="67BD611B"/>
    <w:rsid w:val="68283096"/>
    <w:rsid w:val="68E30159"/>
    <w:rsid w:val="68EE0890"/>
    <w:rsid w:val="691A3243"/>
    <w:rsid w:val="69510B00"/>
    <w:rsid w:val="696778F6"/>
    <w:rsid w:val="696C42BB"/>
    <w:rsid w:val="697F166F"/>
    <w:rsid w:val="698A6B0F"/>
    <w:rsid w:val="69DA44CA"/>
    <w:rsid w:val="6A4A5289"/>
    <w:rsid w:val="6A782EAA"/>
    <w:rsid w:val="6A907363"/>
    <w:rsid w:val="6AB42B93"/>
    <w:rsid w:val="6B40189C"/>
    <w:rsid w:val="6B704279"/>
    <w:rsid w:val="6B8B75BB"/>
    <w:rsid w:val="6B94554D"/>
    <w:rsid w:val="6BAF6246"/>
    <w:rsid w:val="6C004889"/>
    <w:rsid w:val="6C541033"/>
    <w:rsid w:val="6C9230E5"/>
    <w:rsid w:val="6CEC2069"/>
    <w:rsid w:val="6D020EA1"/>
    <w:rsid w:val="6D4B275F"/>
    <w:rsid w:val="6D9C75F0"/>
    <w:rsid w:val="6DFA40F1"/>
    <w:rsid w:val="6E0F1211"/>
    <w:rsid w:val="6E6341F7"/>
    <w:rsid w:val="6ECA12A3"/>
    <w:rsid w:val="6ED5379A"/>
    <w:rsid w:val="6EFC23B2"/>
    <w:rsid w:val="6FBD0858"/>
    <w:rsid w:val="70367A24"/>
    <w:rsid w:val="703728F8"/>
    <w:rsid w:val="70DC3025"/>
    <w:rsid w:val="70E868C7"/>
    <w:rsid w:val="714F494F"/>
    <w:rsid w:val="716618B9"/>
    <w:rsid w:val="71A27F49"/>
    <w:rsid w:val="71AF3802"/>
    <w:rsid w:val="71B810F3"/>
    <w:rsid w:val="727F394A"/>
    <w:rsid w:val="72E1752D"/>
    <w:rsid w:val="72F42715"/>
    <w:rsid w:val="734E4CC0"/>
    <w:rsid w:val="73537391"/>
    <w:rsid w:val="73A015C2"/>
    <w:rsid w:val="73A913CF"/>
    <w:rsid w:val="73EB1497"/>
    <w:rsid w:val="74000A47"/>
    <w:rsid w:val="740C2878"/>
    <w:rsid w:val="74885606"/>
    <w:rsid w:val="748F156A"/>
    <w:rsid w:val="74A7424D"/>
    <w:rsid w:val="74F67B77"/>
    <w:rsid w:val="751115BE"/>
    <w:rsid w:val="75385CCB"/>
    <w:rsid w:val="755D6D1B"/>
    <w:rsid w:val="75740E00"/>
    <w:rsid w:val="763A080C"/>
    <w:rsid w:val="76590BF5"/>
    <w:rsid w:val="76EB5B39"/>
    <w:rsid w:val="76FF7590"/>
    <w:rsid w:val="776F4F23"/>
    <w:rsid w:val="780C55C9"/>
    <w:rsid w:val="78156E78"/>
    <w:rsid w:val="782D5EAF"/>
    <w:rsid w:val="78480D62"/>
    <w:rsid w:val="785E1CD6"/>
    <w:rsid w:val="786302A1"/>
    <w:rsid w:val="789F1175"/>
    <w:rsid w:val="78BA1FE2"/>
    <w:rsid w:val="79195431"/>
    <w:rsid w:val="79281C3F"/>
    <w:rsid w:val="7931734A"/>
    <w:rsid w:val="79FC54FC"/>
    <w:rsid w:val="7A235A40"/>
    <w:rsid w:val="7A351C1A"/>
    <w:rsid w:val="7A6B4EF3"/>
    <w:rsid w:val="7A835347"/>
    <w:rsid w:val="7ADB38D4"/>
    <w:rsid w:val="7B311322"/>
    <w:rsid w:val="7BF11CE9"/>
    <w:rsid w:val="7D334DC0"/>
    <w:rsid w:val="7D536A7D"/>
    <w:rsid w:val="7DD2691C"/>
    <w:rsid w:val="7DD435F0"/>
    <w:rsid w:val="7E2B7798"/>
    <w:rsid w:val="7E3563A1"/>
    <w:rsid w:val="7E5504A6"/>
    <w:rsid w:val="7E8D41F7"/>
    <w:rsid w:val="7E907410"/>
    <w:rsid w:val="7E9326F9"/>
    <w:rsid w:val="7EE20452"/>
    <w:rsid w:val="7F016B4B"/>
    <w:rsid w:val="7F2146E3"/>
    <w:rsid w:val="7F395D9C"/>
    <w:rsid w:val="7F8A6AA4"/>
    <w:rsid w:val="7FE507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4"/>
    <w:qFormat/>
    <w:uiPriority w:val="0"/>
    <w:pPr>
      <w:keepNext/>
      <w:keepLines/>
      <w:numPr>
        <w:ilvl w:val="0"/>
        <w:numId w:val="1"/>
      </w:numPr>
      <w:pBdr>
        <w:top w:val="single" w:color="auto" w:sz="12" w:space="3"/>
      </w:pBdr>
      <w:spacing w:before="240"/>
      <w:outlineLvl w:val="0"/>
    </w:pPr>
    <w:rPr>
      <w:rFonts w:ascii="Arial" w:hAnsi="Arial"/>
      <w:sz w:val="36"/>
      <w:lang w:val="en-GB"/>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2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sz w:val="36"/>
      <w:lang w:val="en-GB" w:eastAsia="en-US"/>
    </w:rPr>
  </w:style>
  <w:style w:type="character" w:customStyle="1" w:styleId="105">
    <w:name w:val="标题 2 Char"/>
    <w:link w:val="3"/>
    <w:qFormat/>
    <w:uiPriority w:val="0"/>
    <w:rPr>
      <w:rFonts w:ascii="Arial" w:hAnsi="Arial"/>
      <w:sz w:val="32"/>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Doc-text2"/>
    <w:basedOn w:val="1"/>
    <w:link w:val="159"/>
    <w:qFormat/>
    <w:uiPriority w:val="0"/>
    <w:pPr>
      <w:tabs>
        <w:tab w:val="left" w:pos="1622"/>
      </w:tabs>
      <w:overflowPunct/>
      <w:autoSpaceDE/>
      <w:autoSpaceDN/>
      <w:adjustRightInd/>
      <w:spacing w:after="0"/>
      <w:ind w:left="1622" w:hanging="363"/>
      <w:jc w:val="left"/>
      <w:textAlignment w:val="auto"/>
    </w:pPr>
    <w:rPr>
      <w:rFonts w:ascii="Arial" w:hAnsi="Arial" w:eastAsia="MS Mincho"/>
      <w:szCs w:val="24"/>
      <w:lang w:val="en-GB" w:eastAsia="en-GB"/>
    </w:rPr>
  </w:style>
  <w:style w:type="character" w:customStyle="1" w:styleId="159">
    <w:name w:val="Doc-text2 Char"/>
    <w:link w:val="158"/>
    <w:qFormat/>
    <w:uiPriority w:val="0"/>
    <w:rPr>
      <w:rFonts w:ascii="Arial" w:hAnsi="Arial" w:eastAsia="MS Mincho"/>
      <w:szCs w:val="24"/>
      <w:lang w:val="en-GB" w:eastAsia="en-GB"/>
    </w:rPr>
  </w:style>
  <w:style w:type="paragraph" w:customStyle="1" w:styleId="160">
    <w:name w:val="Agreement"/>
    <w:basedOn w:val="1"/>
    <w:next w:val="158"/>
    <w:qFormat/>
    <w:uiPriority w:val="99"/>
    <w:pPr>
      <w:numPr>
        <w:ilvl w:val="0"/>
        <w:numId w:val="9"/>
      </w:numPr>
      <w:overflowPunct/>
      <w:autoSpaceDE/>
      <w:autoSpaceDN/>
      <w:adjustRightInd/>
      <w:spacing w:before="60" w:after="0"/>
      <w:jc w:val="left"/>
      <w:textAlignment w:val="auto"/>
    </w:pPr>
    <w:rPr>
      <w:rFonts w:ascii="Arial" w:hAnsi="Arial" w:eastAsia="MS Mincho"/>
      <w:b/>
      <w:szCs w:val="24"/>
      <w:lang w:val="en-GB" w:eastAsia="en-GB"/>
    </w:rPr>
  </w:style>
  <w:style w:type="character" w:customStyle="1" w:styleId="161">
    <w:name w:val="B1 Char"/>
    <w:qFormat/>
    <w:locked/>
    <w:uiPriority w:val="0"/>
    <w:rPr>
      <w:lang w:val="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156B33-FE54-4BF7-8206-606715473FFD}">
  <ds:schemaRefs/>
</ds:datastoreItem>
</file>

<file path=customXml/itemProps3.xml><?xml version="1.0" encoding="utf-8"?>
<ds:datastoreItem xmlns:ds="http://schemas.openxmlformats.org/officeDocument/2006/customXml" ds:itemID="{04BF5348-08CE-46A2-B6C7-D667930F0DC1}">
  <ds:schemaRefs/>
</ds:datastoreItem>
</file>

<file path=customXml/itemProps4.xml><?xml version="1.0" encoding="utf-8"?>
<ds:datastoreItem xmlns:ds="http://schemas.openxmlformats.org/officeDocument/2006/customXml" ds:itemID="{DE437376-A7B6-47B7-A9FE-9D6C62534131}">
  <ds:schemaRefs/>
</ds:datastoreItem>
</file>

<file path=customXml/itemProps5.xml><?xml version="1.0" encoding="utf-8"?>
<ds:datastoreItem xmlns:ds="http://schemas.openxmlformats.org/officeDocument/2006/customXml" ds:itemID="{9C2FF60E-EDDE-47F2-966E-A40547D413B7}">
  <ds:schemaRefs/>
</ds:datastoreItem>
</file>

<file path=customXml/itemProps6.xml><?xml version="1.0" encoding="utf-8"?>
<ds:datastoreItem xmlns:ds="http://schemas.openxmlformats.org/officeDocument/2006/customXml" ds:itemID="{8E199DE9-D30E-45A6-B2B9-A0F00408DE78}">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3</Pages>
  <Words>1114</Words>
  <Characters>6352</Characters>
  <Lines>52</Lines>
  <Paragraphs>14</Paragraphs>
  <TotalTime>4</TotalTime>
  <ScaleCrop>false</ScaleCrop>
  <LinksUpToDate>false</LinksUpToDate>
  <CharactersWithSpaces>7452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2021-11-03T11:34:00Z</dcterms:created>
  <dc:creator>ZTE Corporation</dc:creator>
  <cp:lastModifiedBy>ZTE-liuzhuang</cp:lastModifiedBy>
  <cp:lastPrinted>2018-04-07T03:05:00Z</cp:lastPrinted>
  <dcterms:modified xsi:type="dcterms:W3CDTF">2022-12-05T01:57:03Z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